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left="643" w:hanging="643" w:hangingChars="200"/>
        <w:jc w:val="center"/>
        <w:rPr>
          <w:rFonts w:ascii="黑体" w:hAnsi="黑体" w:eastAsia="黑体" w:cs="宋体"/>
          <w:b/>
          <w:bCs/>
          <w:kern w:val="0"/>
          <w:sz w:val="32"/>
          <w:szCs w:val="44"/>
        </w:rPr>
      </w:pPr>
      <w:r>
        <w:rPr>
          <w:rFonts w:ascii="黑体" w:hAnsi="黑体" w:eastAsia="黑体" w:cs="宋体"/>
          <w:b/>
          <w:bCs/>
          <w:kern w:val="0"/>
          <w:sz w:val="32"/>
          <w:szCs w:val="44"/>
        </w:rPr>
        <w:t>国家新闻出版</w:t>
      </w:r>
      <w:r>
        <w:rPr>
          <w:rFonts w:hint="eastAsia" w:ascii="黑体" w:hAnsi="黑体" w:eastAsia="黑体" w:cs="宋体"/>
          <w:b/>
          <w:bCs/>
          <w:kern w:val="0"/>
          <w:sz w:val="32"/>
          <w:szCs w:val="44"/>
        </w:rPr>
        <w:t>署</w:t>
      </w:r>
      <w:r>
        <w:rPr>
          <w:rFonts w:ascii="黑体" w:hAnsi="黑体" w:eastAsia="黑体" w:cs="宋体"/>
          <w:b/>
          <w:bCs/>
          <w:kern w:val="0"/>
          <w:sz w:val="32"/>
          <w:szCs w:val="44"/>
        </w:rPr>
        <w:t>出版融合</w:t>
      </w:r>
      <w:r>
        <w:rPr>
          <w:rFonts w:hint="eastAsia" w:ascii="黑体" w:hAnsi="黑体" w:eastAsia="黑体" w:cs="宋体"/>
          <w:b/>
          <w:bCs/>
          <w:kern w:val="0"/>
          <w:sz w:val="32"/>
          <w:szCs w:val="44"/>
        </w:rPr>
        <w:t>发展</w:t>
      </w:r>
      <w:r>
        <w:rPr>
          <w:rFonts w:ascii="黑体" w:hAnsi="黑体" w:eastAsia="黑体" w:cs="宋体"/>
          <w:b/>
          <w:bCs/>
          <w:kern w:val="0"/>
          <w:sz w:val="32"/>
          <w:szCs w:val="44"/>
        </w:rPr>
        <w:t>（</w:t>
      </w:r>
      <w:r>
        <w:rPr>
          <w:rFonts w:hint="eastAsia" w:ascii="黑体" w:hAnsi="黑体" w:eastAsia="黑体" w:cs="宋体"/>
          <w:b/>
          <w:bCs/>
          <w:kern w:val="0"/>
          <w:sz w:val="32"/>
          <w:szCs w:val="44"/>
        </w:rPr>
        <w:t>人教社</w:t>
      </w:r>
      <w:r>
        <w:rPr>
          <w:rFonts w:ascii="黑体" w:hAnsi="黑体" w:eastAsia="黑体" w:cs="宋体"/>
          <w:b/>
          <w:bCs/>
          <w:kern w:val="0"/>
          <w:sz w:val="32"/>
          <w:szCs w:val="44"/>
        </w:rPr>
        <w:t>）重点实验室</w:t>
      </w:r>
    </w:p>
    <w:p>
      <w:pPr>
        <w:widowControl/>
        <w:shd w:val="clear" w:color="auto" w:fill="FFFFFF"/>
        <w:spacing w:line="480" w:lineRule="atLeast"/>
        <w:ind w:left="643" w:hanging="643" w:hangingChars="200"/>
        <w:jc w:val="center"/>
        <w:rPr>
          <w:rFonts w:ascii="黑体" w:hAnsi="黑体" w:eastAsia="黑体" w:cs="宋体"/>
          <w:b/>
          <w:bCs/>
          <w:kern w:val="0"/>
          <w:sz w:val="32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44"/>
        </w:rPr>
        <w:t>人民教育出版社人教数字教育研究院</w:t>
      </w:r>
    </w:p>
    <w:p>
      <w:pPr>
        <w:widowControl/>
        <w:shd w:val="clear" w:color="auto" w:fill="FFFFFF"/>
        <w:spacing w:line="480" w:lineRule="atLeast"/>
        <w:ind w:left="723" w:hanging="723" w:hangingChars="20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20</w:t>
      </w:r>
      <w:r>
        <w:rPr>
          <w:rFonts w:ascii="黑体" w:hAnsi="黑体" w:eastAsia="黑体" w:cs="宋体"/>
          <w:b/>
          <w:bCs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年度课题申报指南</w:t>
      </w: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为深入贯彻落实习近平</w:t>
      </w:r>
      <w:r>
        <w:rPr>
          <w:rFonts w:ascii="宋体" w:hAnsi="宋体"/>
          <w:sz w:val="24"/>
        </w:rPr>
        <w:t>新时代中国特色社会主义思想和</w:t>
      </w:r>
      <w:r>
        <w:rPr>
          <w:rFonts w:hint="eastAsia" w:ascii="宋体" w:hAnsi="宋体"/>
          <w:sz w:val="24"/>
        </w:rPr>
        <w:t>党的十九大精神，深入推进基础教育信息化、中小学数字化教学领域的工作，结合数字教育出版事业发展现状与趋势，以信息技术与教育教学融合创新为导向，形成一批针对上述领域关键问题的专题研究成果，服务于教育现代化和教育出版转型升级，特制定2020年度课题申报指南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本指南提供课题申报方向，申请人可根据所选方向自拟课题名称。鼓励申请人深入中小学教学一线，结合具体案例进行实证研究。</w:t>
      </w:r>
    </w:p>
    <w:p>
      <w:pPr>
        <w:pStyle w:val="16"/>
        <w:numPr>
          <w:ilvl w:val="0"/>
          <w:numId w:val="1"/>
        </w:numPr>
        <w:spacing w:before="312" w:beforeLines="100" w:after="156" w:afterLines="50" w:line="360" w:lineRule="auto"/>
        <w:ind w:left="811" w:hanging="811"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重大</w:t>
      </w:r>
      <w:r>
        <w:rPr>
          <w:rFonts w:ascii="黑体" w:hAnsi="黑体" w:eastAsia="黑体"/>
          <w:b/>
          <w:sz w:val="32"/>
          <w:szCs w:val="32"/>
        </w:rPr>
        <w:t>课题方向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Z</w:t>
      </w:r>
      <w:r>
        <w:rPr>
          <w:rFonts w:ascii="黑体" w:hAnsi="黑体" w:eastAsia="黑体"/>
          <w:b/>
          <w:sz w:val="30"/>
          <w:szCs w:val="30"/>
        </w:rPr>
        <w:t>01.</w:t>
      </w:r>
      <w:r>
        <w:rPr>
          <w:rFonts w:hint="eastAsia" w:ascii="黑体" w:hAnsi="黑体" w:eastAsia="黑体"/>
          <w:b/>
          <w:sz w:val="30"/>
          <w:szCs w:val="30"/>
        </w:rPr>
        <w:t>数字</w:t>
      </w:r>
      <w:r>
        <w:rPr>
          <w:rFonts w:ascii="黑体" w:hAnsi="黑体" w:eastAsia="黑体"/>
          <w:b/>
          <w:sz w:val="30"/>
          <w:szCs w:val="30"/>
        </w:rPr>
        <w:t>教材</w:t>
      </w:r>
      <w:r>
        <w:rPr>
          <w:rFonts w:hint="eastAsia" w:ascii="黑体" w:hAnsi="黑体" w:eastAsia="黑体"/>
          <w:b/>
          <w:sz w:val="30"/>
          <w:szCs w:val="30"/>
        </w:rPr>
        <w:t>相关基础</w:t>
      </w:r>
      <w:r>
        <w:rPr>
          <w:rFonts w:ascii="黑体" w:hAnsi="黑体" w:eastAsia="黑体"/>
          <w:b/>
          <w:sz w:val="30"/>
          <w:szCs w:val="30"/>
        </w:rPr>
        <w:t>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数字</w:t>
      </w:r>
      <w:r>
        <w:rPr>
          <w:rFonts w:ascii="宋体" w:hAnsi="宋体"/>
          <w:sz w:val="24"/>
        </w:rPr>
        <w:t>教材的</w:t>
      </w:r>
      <w:r>
        <w:rPr>
          <w:rFonts w:hint="eastAsia" w:ascii="宋体" w:hAnsi="宋体"/>
          <w:sz w:val="24"/>
        </w:rPr>
        <w:t>基本概念、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教学</w:t>
      </w:r>
      <w:r>
        <w:rPr>
          <w:rFonts w:ascii="宋体" w:hAnsi="宋体"/>
          <w:sz w:val="24"/>
        </w:rPr>
        <w:t>论、</w:t>
      </w:r>
      <w:r>
        <w:rPr>
          <w:rFonts w:hint="eastAsia" w:ascii="宋体" w:hAnsi="宋体"/>
          <w:sz w:val="24"/>
        </w:rPr>
        <w:t>政策</w:t>
      </w:r>
      <w:r>
        <w:rPr>
          <w:rFonts w:ascii="宋体" w:hAnsi="宋体"/>
          <w:sz w:val="24"/>
        </w:rPr>
        <w:t>机制、</w:t>
      </w:r>
      <w:r>
        <w:rPr>
          <w:rFonts w:hint="eastAsia" w:ascii="宋体" w:hAnsi="宋体"/>
          <w:sz w:val="24"/>
        </w:rPr>
        <w:t>技术</w:t>
      </w:r>
      <w:r>
        <w:rPr>
          <w:rFonts w:ascii="宋体" w:hAnsi="宋体"/>
          <w:sz w:val="24"/>
        </w:rPr>
        <w:t>规范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国际</w:t>
      </w:r>
      <w:r>
        <w:rPr>
          <w:rFonts w:hint="eastAsia" w:ascii="宋体" w:hAnsi="宋体"/>
          <w:sz w:val="24"/>
        </w:rPr>
        <w:t>比较</w:t>
      </w:r>
      <w:r>
        <w:rPr>
          <w:rFonts w:ascii="宋体" w:hAnsi="宋体"/>
          <w:sz w:val="24"/>
        </w:rPr>
        <w:t>等</w:t>
      </w:r>
      <w:r>
        <w:rPr>
          <w:rFonts w:hint="eastAsia" w:ascii="宋体" w:hAnsi="宋体"/>
          <w:sz w:val="24"/>
        </w:rPr>
        <w:t>基础</w:t>
      </w:r>
      <w:r>
        <w:rPr>
          <w:rFonts w:ascii="宋体" w:hAnsi="宋体"/>
          <w:sz w:val="24"/>
        </w:rPr>
        <w:t>问题的研究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Z02</w:t>
      </w:r>
      <w:r>
        <w:rPr>
          <w:rFonts w:ascii="黑体" w:hAnsi="黑体" w:eastAsia="黑体"/>
          <w:b/>
          <w:sz w:val="30"/>
          <w:szCs w:val="30"/>
        </w:rPr>
        <w:t>.</w:t>
      </w:r>
      <w:r>
        <w:rPr>
          <w:rFonts w:hint="eastAsia" w:ascii="黑体" w:hAnsi="黑体" w:eastAsia="黑体"/>
          <w:b/>
          <w:sz w:val="30"/>
          <w:szCs w:val="30"/>
        </w:rPr>
        <w:t>人工智能在教育领域的应用研究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人工智能在</w:t>
      </w:r>
      <w:r>
        <w:rPr>
          <w:rFonts w:ascii="宋体" w:hAnsi="宋体"/>
          <w:sz w:val="24"/>
        </w:rPr>
        <w:t>教育</w:t>
      </w:r>
      <w:r>
        <w:rPr>
          <w:rFonts w:hint="eastAsia" w:ascii="宋体" w:hAnsi="宋体"/>
          <w:sz w:val="24"/>
        </w:rPr>
        <w:t>教学</w:t>
      </w:r>
      <w:r>
        <w:rPr>
          <w:rFonts w:ascii="宋体" w:hAnsi="宋体"/>
          <w:sz w:val="24"/>
        </w:rPr>
        <w:t>中应用的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范式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关键技术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典型案例</w:t>
      </w:r>
      <w:r>
        <w:rPr>
          <w:rFonts w:hint="eastAsia" w:ascii="宋体" w:hAnsi="宋体"/>
          <w:sz w:val="24"/>
        </w:rPr>
        <w:t>及效果、相关</w:t>
      </w:r>
      <w:r>
        <w:rPr>
          <w:rFonts w:ascii="宋体" w:hAnsi="宋体"/>
          <w:sz w:val="24"/>
        </w:rPr>
        <w:t>伦理等</w:t>
      </w:r>
      <w:r>
        <w:rPr>
          <w:rFonts w:hint="eastAsia" w:ascii="宋体" w:hAnsi="宋体"/>
          <w:sz w:val="24"/>
        </w:rPr>
        <w:t>。</w:t>
      </w:r>
    </w:p>
    <w:p>
      <w:pPr>
        <w:pStyle w:val="16"/>
        <w:numPr>
          <w:ilvl w:val="0"/>
          <w:numId w:val="1"/>
        </w:numPr>
        <w:spacing w:before="312" w:beforeLines="100" w:after="156" w:afterLines="50" w:line="360" w:lineRule="auto"/>
        <w:ind w:left="811" w:hanging="811"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重点课题方向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A01.</w:t>
      </w:r>
      <w:r>
        <w:rPr>
          <w:rFonts w:hint="eastAsia" w:ascii="黑体" w:hAnsi="黑体" w:eastAsia="黑体"/>
          <w:b/>
          <w:sz w:val="30"/>
          <w:szCs w:val="30"/>
        </w:rPr>
        <w:t>中小学数字化教学模式研究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在信息化环境下，基于课标教材、聚焦课堂，梳理不同</w:t>
      </w:r>
      <w:r>
        <w:rPr>
          <w:rFonts w:ascii="宋体" w:hAnsi="宋体"/>
          <w:sz w:val="24"/>
        </w:rPr>
        <w:t>信息技术</w:t>
      </w:r>
      <w:r>
        <w:rPr>
          <w:rFonts w:hint="eastAsia" w:ascii="宋体" w:hAnsi="宋体"/>
          <w:sz w:val="24"/>
        </w:rPr>
        <w:t>手段</w:t>
      </w:r>
      <w:r>
        <w:rPr>
          <w:rFonts w:ascii="宋体" w:hAnsi="宋体"/>
          <w:sz w:val="24"/>
        </w:rPr>
        <w:t>和工具</w:t>
      </w:r>
      <w:r>
        <w:rPr>
          <w:rFonts w:hint="eastAsia" w:ascii="宋体" w:hAnsi="宋体"/>
          <w:sz w:val="24"/>
        </w:rPr>
        <w:t>与学科教学深度融合的教学应用模式和</w:t>
      </w:r>
      <w:r>
        <w:rPr>
          <w:rFonts w:ascii="宋体" w:hAnsi="宋体"/>
          <w:sz w:val="24"/>
        </w:rPr>
        <w:t>实践案例</w:t>
      </w:r>
      <w:r>
        <w:rPr>
          <w:rFonts w:hint="eastAsia" w:ascii="宋体" w:hAnsi="宋体"/>
          <w:sz w:val="24"/>
        </w:rPr>
        <w:t>，论述、梳理总结符合学生发展核心素养培养路径的实践经验和成果。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A02</w:t>
      </w:r>
      <w:r>
        <w:rPr>
          <w:rFonts w:hint="eastAsia" w:ascii="黑体" w:hAnsi="黑体" w:eastAsia="黑体"/>
          <w:b/>
          <w:sz w:val="30"/>
          <w:szCs w:val="30"/>
        </w:rPr>
        <w:t>.</w:t>
      </w:r>
      <w:r>
        <w:rPr>
          <w:rFonts w:ascii="黑体" w:hAnsi="黑体" w:eastAsia="黑体"/>
          <w:b/>
          <w:sz w:val="30"/>
          <w:szCs w:val="30"/>
        </w:rPr>
        <w:t>中小学生数字</w:t>
      </w:r>
      <w:r>
        <w:rPr>
          <w:rFonts w:hint="eastAsia" w:ascii="黑体" w:hAnsi="黑体" w:eastAsia="黑体"/>
          <w:b/>
          <w:sz w:val="30"/>
          <w:szCs w:val="30"/>
        </w:rPr>
        <w:t>化</w:t>
      </w:r>
      <w:r>
        <w:rPr>
          <w:rFonts w:ascii="黑体" w:hAnsi="黑体" w:eastAsia="黑体"/>
          <w:b/>
          <w:sz w:val="30"/>
          <w:szCs w:val="30"/>
        </w:rPr>
        <w:t>阅读</w:t>
      </w:r>
      <w:r>
        <w:rPr>
          <w:rFonts w:hint="eastAsia" w:ascii="黑体" w:hAnsi="黑体" w:eastAsia="黑体"/>
          <w:b/>
          <w:sz w:val="30"/>
          <w:szCs w:val="30"/>
        </w:rPr>
        <w:t>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包括数字阅读</w:t>
      </w:r>
      <w:r>
        <w:rPr>
          <w:rFonts w:ascii="宋体" w:hAnsi="宋体"/>
          <w:sz w:val="24"/>
        </w:rPr>
        <w:t>对中小学生阅读</w:t>
      </w:r>
      <w:r>
        <w:rPr>
          <w:rFonts w:hint="eastAsia" w:ascii="宋体" w:hAnsi="宋体"/>
          <w:sz w:val="24"/>
        </w:rPr>
        <w:t>素养和身心发展</w:t>
      </w:r>
      <w:r>
        <w:rPr>
          <w:rFonts w:ascii="宋体" w:hAnsi="宋体"/>
          <w:sz w:val="24"/>
        </w:rPr>
        <w:t>影响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实证研究</w:t>
      </w:r>
      <w:r>
        <w:rPr>
          <w:rFonts w:hint="eastAsia" w:ascii="宋体" w:hAnsi="宋体"/>
          <w:sz w:val="24"/>
        </w:rPr>
        <w:t>，中小学生</w:t>
      </w:r>
      <w:r>
        <w:rPr>
          <w:rFonts w:ascii="宋体" w:hAnsi="宋体"/>
          <w:sz w:val="24"/>
        </w:rPr>
        <w:t>数字阅读素养</w:t>
      </w:r>
      <w:r>
        <w:rPr>
          <w:rFonts w:hint="eastAsia" w:ascii="宋体" w:hAnsi="宋体"/>
          <w:sz w:val="24"/>
        </w:rPr>
        <w:t>培养</w:t>
      </w:r>
      <w:r>
        <w:rPr>
          <w:rFonts w:ascii="宋体" w:hAnsi="宋体"/>
          <w:sz w:val="24"/>
        </w:rPr>
        <w:t>策略及案例</w:t>
      </w:r>
      <w:r>
        <w:rPr>
          <w:rFonts w:hint="eastAsia" w:ascii="宋体" w:hAnsi="宋体"/>
          <w:sz w:val="24"/>
        </w:rPr>
        <w:t>分析，面向</w:t>
      </w:r>
      <w:r>
        <w:rPr>
          <w:rFonts w:ascii="宋体" w:hAnsi="宋体"/>
          <w:sz w:val="24"/>
        </w:rPr>
        <w:t>课堂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数字</w:t>
      </w:r>
      <w:r>
        <w:rPr>
          <w:rFonts w:hint="eastAsia" w:ascii="宋体" w:hAnsi="宋体"/>
          <w:sz w:val="24"/>
        </w:rPr>
        <w:t>化</w:t>
      </w:r>
      <w:r>
        <w:rPr>
          <w:rFonts w:ascii="宋体" w:hAnsi="宋体"/>
          <w:sz w:val="24"/>
        </w:rPr>
        <w:t>阅读内容</w:t>
      </w:r>
      <w:r>
        <w:rPr>
          <w:rFonts w:hint="eastAsia" w:ascii="宋体" w:hAnsi="宋体"/>
          <w:sz w:val="24"/>
        </w:rPr>
        <w:t>设计与</w:t>
      </w:r>
      <w:r>
        <w:rPr>
          <w:rFonts w:ascii="宋体" w:hAnsi="宋体"/>
          <w:sz w:val="24"/>
        </w:rPr>
        <w:t>研发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A03</w:t>
      </w:r>
      <w:r>
        <w:rPr>
          <w:rFonts w:hint="eastAsia" w:ascii="黑体" w:hAnsi="黑体" w:eastAsia="黑体"/>
          <w:b/>
          <w:sz w:val="30"/>
          <w:szCs w:val="30"/>
        </w:rPr>
        <w:t>.数据驱动下的教学评价变革研究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包括</w:t>
      </w:r>
      <w:r>
        <w:rPr>
          <w:rFonts w:ascii="宋体" w:hAnsi="宋体"/>
          <w:sz w:val="24"/>
        </w:rPr>
        <w:t>数据驱动</w:t>
      </w:r>
      <w:r>
        <w:rPr>
          <w:rFonts w:hint="eastAsia" w:ascii="宋体" w:hAnsi="宋体"/>
          <w:sz w:val="24"/>
        </w:rPr>
        <w:t>下的教学评价模型</w:t>
      </w:r>
      <w:r>
        <w:rPr>
          <w:rFonts w:ascii="宋体" w:hAnsi="宋体"/>
          <w:sz w:val="24"/>
        </w:rPr>
        <w:t>、方法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技术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以及</w:t>
      </w:r>
      <w:r>
        <w:rPr>
          <w:rFonts w:hint="eastAsia" w:ascii="宋体" w:hAnsi="宋体"/>
          <w:sz w:val="24"/>
        </w:rPr>
        <w:t>实践应用</w:t>
      </w:r>
      <w:r>
        <w:rPr>
          <w:rFonts w:ascii="宋体" w:hAnsi="宋体"/>
          <w:sz w:val="24"/>
        </w:rPr>
        <w:t>案例</w:t>
      </w:r>
      <w:r>
        <w:rPr>
          <w:rFonts w:hint="eastAsia" w:ascii="宋体" w:hAnsi="宋体"/>
          <w:sz w:val="24"/>
        </w:rPr>
        <w:t>等。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A04</w:t>
      </w:r>
      <w:r>
        <w:rPr>
          <w:rFonts w:hint="eastAsia" w:ascii="黑体" w:hAnsi="黑体" w:eastAsia="黑体"/>
          <w:b/>
          <w:sz w:val="30"/>
          <w:szCs w:val="30"/>
        </w:rPr>
        <w:t>.中小学师生信息化素养提升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围绕如何提升中小学师生信息化素养，重点</w:t>
      </w:r>
      <w:r>
        <w:rPr>
          <w:rFonts w:ascii="宋体" w:hAnsi="宋体"/>
          <w:sz w:val="24"/>
        </w:rPr>
        <w:t>研究</w:t>
      </w:r>
      <w:r>
        <w:rPr>
          <w:rFonts w:hint="eastAsia" w:ascii="宋体" w:hAnsi="宋体"/>
          <w:sz w:val="24"/>
        </w:rPr>
        <w:t>师生</w:t>
      </w:r>
      <w:r>
        <w:rPr>
          <w:rFonts w:ascii="宋体" w:hAnsi="宋体"/>
          <w:sz w:val="24"/>
        </w:rPr>
        <w:t>信息素养评价体系、</w:t>
      </w:r>
      <w:r>
        <w:rPr>
          <w:rFonts w:hint="eastAsia" w:ascii="宋体" w:hAnsi="宋体"/>
          <w:sz w:val="24"/>
        </w:rPr>
        <w:t>培养机制和</w:t>
      </w:r>
      <w:r>
        <w:rPr>
          <w:rFonts w:ascii="宋体" w:hAnsi="宋体"/>
          <w:sz w:val="24"/>
        </w:rPr>
        <w:t>策略</w:t>
      </w:r>
      <w:r>
        <w:rPr>
          <w:rFonts w:hint="eastAsia" w:ascii="宋体" w:hAnsi="宋体"/>
          <w:sz w:val="24"/>
        </w:rPr>
        <w:t>、实施路径、</w:t>
      </w:r>
      <w:r>
        <w:rPr>
          <w:rFonts w:ascii="宋体" w:hAnsi="宋体"/>
          <w:sz w:val="24"/>
        </w:rPr>
        <w:t>典型案例</w:t>
      </w:r>
      <w:r>
        <w:rPr>
          <w:rFonts w:hint="eastAsia" w:ascii="宋体" w:hAnsi="宋体"/>
          <w:sz w:val="24"/>
        </w:rPr>
        <w:t>等。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A05</w:t>
      </w:r>
      <w:r>
        <w:rPr>
          <w:rFonts w:hint="eastAsia" w:ascii="黑体" w:hAnsi="黑体" w:eastAsia="黑体"/>
          <w:b/>
          <w:sz w:val="30"/>
          <w:szCs w:val="30"/>
        </w:rPr>
        <w:t>.利用大资源学习与课程教材应用的关系研究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教育大资源的建设机制与</w:t>
      </w:r>
      <w:r>
        <w:rPr>
          <w:rFonts w:ascii="宋体" w:hAnsi="宋体"/>
          <w:sz w:val="24"/>
        </w:rPr>
        <w:t>应用</w:t>
      </w:r>
      <w:r>
        <w:rPr>
          <w:rFonts w:hint="eastAsia" w:ascii="宋体" w:hAnsi="宋体"/>
          <w:sz w:val="24"/>
        </w:rPr>
        <w:t>模式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教育大资源应用</w:t>
      </w:r>
      <w:r>
        <w:rPr>
          <w:rFonts w:ascii="宋体" w:hAnsi="宋体"/>
          <w:sz w:val="24"/>
        </w:rPr>
        <w:t>与数字教材应用的关系</w:t>
      </w:r>
      <w:r>
        <w:rPr>
          <w:rFonts w:hint="eastAsia" w:ascii="宋体" w:hAnsi="宋体"/>
          <w:sz w:val="24"/>
        </w:rPr>
        <w:t>研究等</w:t>
      </w:r>
      <w:r>
        <w:rPr>
          <w:rFonts w:ascii="宋体" w:hAnsi="宋体"/>
          <w:sz w:val="24"/>
        </w:rPr>
        <w:t>。</w:t>
      </w:r>
    </w:p>
    <w:p>
      <w:pPr>
        <w:pStyle w:val="16"/>
        <w:numPr>
          <w:ilvl w:val="0"/>
          <w:numId w:val="1"/>
        </w:numPr>
        <w:spacing w:before="312" w:beforeLines="100" w:after="156" w:afterLines="50" w:line="360" w:lineRule="auto"/>
        <w:ind w:left="811" w:hanging="811"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一般课题方向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B01</w:t>
      </w:r>
      <w:r>
        <w:rPr>
          <w:rFonts w:hint="eastAsia" w:ascii="黑体" w:hAnsi="黑体" w:eastAsia="黑体"/>
          <w:b/>
          <w:sz w:val="30"/>
          <w:szCs w:val="30"/>
        </w:rPr>
        <w:t>.数字教育资源和</w:t>
      </w:r>
      <w:r>
        <w:rPr>
          <w:rFonts w:ascii="黑体" w:hAnsi="黑体" w:eastAsia="黑体"/>
          <w:b/>
          <w:sz w:val="30"/>
          <w:szCs w:val="30"/>
        </w:rPr>
        <w:t>工具</w:t>
      </w:r>
      <w:r>
        <w:rPr>
          <w:rFonts w:hint="eastAsia" w:ascii="黑体" w:hAnsi="黑体" w:eastAsia="黑体"/>
          <w:b/>
          <w:sz w:val="30"/>
          <w:szCs w:val="30"/>
        </w:rPr>
        <w:t>的研发与应用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围绕某一特定学科或</w:t>
      </w:r>
      <w:r>
        <w:rPr>
          <w:rFonts w:ascii="宋体" w:hAnsi="宋体"/>
          <w:sz w:val="24"/>
        </w:rPr>
        <w:t>跨学科</w:t>
      </w:r>
      <w:r>
        <w:rPr>
          <w:rFonts w:hint="eastAsia" w:ascii="宋体" w:hAnsi="宋体"/>
          <w:sz w:val="24"/>
        </w:rPr>
        <w:t>，研究数字教育资源、</w:t>
      </w:r>
      <w:r>
        <w:rPr>
          <w:rFonts w:ascii="宋体" w:hAnsi="宋体"/>
          <w:sz w:val="24"/>
        </w:rPr>
        <w:t>智能化工具（</w:t>
      </w:r>
      <w:r>
        <w:rPr>
          <w:rFonts w:hint="eastAsia" w:ascii="宋体" w:hAnsi="宋体"/>
          <w:sz w:val="24"/>
        </w:rPr>
        <w:t>智能</w:t>
      </w:r>
      <w:r>
        <w:rPr>
          <w:rFonts w:ascii="宋体" w:hAnsi="宋体"/>
          <w:sz w:val="24"/>
        </w:rPr>
        <w:t>学具、智能教具）</w:t>
      </w:r>
      <w:r>
        <w:rPr>
          <w:rFonts w:hint="eastAsia" w:ascii="宋体" w:hAnsi="宋体"/>
          <w:sz w:val="24"/>
        </w:rPr>
        <w:t>的设计与开发，及其应用策略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案例等。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B02</w:t>
      </w:r>
      <w:r>
        <w:rPr>
          <w:rFonts w:hint="eastAsia" w:ascii="黑体" w:hAnsi="黑体" w:eastAsia="黑体"/>
          <w:b/>
          <w:sz w:val="30"/>
          <w:szCs w:val="30"/>
        </w:rPr>
        <w:t>.GeoGebra软件</w:t>
      </w:r>
      <w:r>
        <w:rPr>
          <w:rFonts w:ascii="黑体" w:hAnsi="黑体" w:eastAsia="黑体"/>
          <w:b/>
          <w:sz w:val="30"/>
          <w:szCs w:val="30"/>
        </w:rPr>
        <w:t>在数学教学中的应用研究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GeoGebra软件在数学</w:t>
      </w:r>
      <w:r>
        <w:rPr>
          <w:rFonts w:ascii="宋体" w:hAnsi="宋体"/>
          <w:sz w:val="24"/>
        </w:rPr>
        <w:t>学科教学中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应用模式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应用案例。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B03</w:t>
      </w:r>
      <w:r>
        <w:rPr>
          <w:rFonts w:hint="eastAsia" w:ascii="黑体" w:hAnsi="黑体" w:eastAsia="黑体"/>
          <w:b/>
          <w:sz w:val="30"/>
          <w:szCs w:val="30"/>
        </w:rPr>
        <w:t>.基于移动终端的数字化学习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针对移动终端（PAD、智能手机或其他互动终端）环境下的学习</w:t>
      </w:r>
      <w:r>
        <w:rPr>
          <w:rFonts w:ascii="宋体" w:hAnsi="宋体"/>
          <w:sz w:val="24"/>
        </w:rPr>
        <w:t>环境构建、</w:t>
      </w:r>
      <w:r>
        <w:rPr>
          <w:rFonts w:hint="eastAsia" w:ascii="宋体" w:hAnsi="宋体"/>
          <w:sz w:val="24"/>
        </w:rPr>
        <w:t>教学模式和</w:t>
      </w:r>
      <w:r>
        <w:rPr>
          <w:rFonts w:ascii="宋体" w:hAnsi="宋体"/>
          <w:sz w:val="24"/>
        </w:rPr>
        <w:t>案例</w:t>
      </w:r>
      <w:r>
        <w:rPr>
          <w:rFonts w:hint="eastAsia" w:ascii="宋体" w:hAnsi="宋体"/>
          <w:sz w:val="24"/>
        </w:rPr>
        <w:t>、学习</w:t>
      </w:r>
      <w:r>
        <w:rPr>
          <w:rFonts w:ascii="宋体" w:hAnsi="宋体"/>
          <w:sz w:val="24"/>
        </w:rPr>
        <w:t>绩效评价</w:t>
      </w:r>
      <w:r>
        <w:rPr>
          <w:rFonts w:hint="eastAsia" w:ascii="宋体" w:hAnsi="宋体"/>
          <w:sz w:val="24"/>
        </w:rPr>
        <w:t>等进行研究。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B04</w:t>
      </w:r>
      <w:r>
        <w:rPr>
          <w:rFonts w:hint="eastAsia" w:ascii="黑体" w:hAnsi="黑体" w:eastAsia="黑体"/>
          <w:b/>
          <w:sz w:val="30"/>
          <w:szCs w:val="30"/>
        </w:rPr>
        <w:t>.基于场景的教学数据可视化研究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基于场景的教学数据源描述、数据可视化方法及解释模式研究。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B05</w:t>
      </w:r>
      <w:r>
        <w:rPr>
          <w:rFonts w:hint="eastAsia" w:ascii="黑体" w:hAnsi="黑体" w:eastAsia="黑体"/>
          <w:b/>
          <w:sz w:val="30"/>
          <w:szCs w:val="30"/>
        </w:rPr>
        <w:t>.中小学创新课程建设与</w:t>
      </w:r>
      <w:r>
        <w:rPr>
          <w:rFonts w:ascii="黑体" w:hAnsi="黑体" w:eastAsia="黑体"/>
          <w:b/>
          <w:sz w:val="30"/>
          <w:szCs w:val="30"/>
        </w:rPr>
        <w:t>应用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针对中小学STEAM课程、</w:t>
      </w:r>
      <w:r>
        <w:rPr>
          <w:rFonts w:ascii="宋体" w:hAnsi="宋体"/>
          <w:sz w:val="24"/>
        </w:rPr>
        <w:t>VR教学等创新课程</w:t>
      </w:r>
      <w:r>
        <w:rPr>
          <w:rFonts w:hint="eastAsia" w:ascii="宋体" w:hAnsi="宋体"/>
          <w:sz w:val="24"/>
        </w:rPr>
        <w:t>需求，以培养</w:t>
      </w:r>
      <w:r>
        <w:rPr>
          <w:rFonts w:ascii="宋体" w:hAnsi="宋体"/>
          <w:sz w:val="24"/>
        </w:rPr>
        <w:t>创新型人才为目标，</w:t>
      </w:r>
      <w:r>
        <w:rPr>
          <w:rFonts w:hint="eastAsia" w:ascii="宋体" w:hAnsi="宋体"/>
          <w:sz w:val="24"/>
        </w:rPr>
        <w:t>研究以数字化手段</w:t>
      </w:r>
      <w:r>
        <w:rPr>
          <w:rFonts w:ascii="宋体" w:hAnsi="宋体"/>
          <w:sz w:val="24"/>
        </w:rPr>
        <w:t>为</w:t>
      </w:r>
      <w:r>
        <w:rPr>
          <w:rFonts w:hint="eastAsia" w:ascii="宋体" w:hAnsi="宋体"/>
          <w:sz w:val="24"/>
        </w:rPr>
        <w:t>支撑的课程、教材、教学等相关实践问题。</w:t>
      </w: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0"/>
          <w:szCs w:val="30"/>
        </w:rPr>
        <w:t>B06</w:t>
      </w:r>
      <w:r>
        <w:rPr>
          <w:rFonts w:hint="eastAsia" w:ascii="黑体" w:hAnsi="黑体" w:eastAsia="黑体"/>
          <w:b/>
          <w:sz w:val="30"/>
          <w:szCs w:val="30"/>
        </w:rPr>
        <w:t>.</w:t>
      </w:r>
      <w:r>
        <w:rPr>
          <w:rFonts w:hint="eastAsia" w:ascii="黑体" w:hAnsi="黑体" w:eastAsia="黑体"/>
          <w:b/>
          <w:sz w:val="32"/>
          <w:szCs w:val="32"/>
        </w:rPr>
        <w:t>信息技术支持</w:t>
      </w:r>
      <w:r>
        <w:rPr>
          <w:rFonts w:ascii="黑体" w:hAnsi="黑体" w:eastAsia="黑体"/>
          <w:b/>
          <w:sz w:val="32"/>
          <w:szCs w:val="32"/>
        </w:rPr>
        <w:t>下的精准教研</w:t>
      </w:r>
    </w:p>
    <w:p>
      <w:pPr>
        <w:spacing w:line="360" w:lineRule="auto"/>
        <w:ind w:firstLine="48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面对新时代教研个性化、精准化的转型要</w:t>
      </w:r>
      <w:r>
        <w:rPr>
          <w:rFonts w:ascii="宋体" w:hAnsi="宋体"/>
          <w:sz w:val="24"/>
        </w:rPr>
        <w:t>求</w:t>
      </w:r>
      <w:r>
        <w:rPr>
          <w:rFonts w:hint="eastAsia" w:ascii="宋体" w:hAnsi="宋体"/>
          <w:sz w:val="24"/>
        </w:rPr>
        <w:t>，依托各种智能技术进行精准教研的创新</w:t>
      </w:r>
      <w:r>
        <w:rPr>
          <w:rFonts w:ascii="宋体" w:hAnsi="宋体"/>
          <w:sz w:val="24"/>
        </w:rPr>
        <w:t>探索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实践</w:t>
      </w:r>
      <w:r>
        <w:rPr>
          <w:rFonts w:hint="eastAsia" w:ascii="宋体" w:hAnsi="宋体"/>
          <w:sz w:val="24"/>
        </w:rPr>
        <w:t>经验</w:t>
      </w:r>
      <w:r>
        <w:rPr>
          <w:rFonts w:ascii="宋体" w:hAnsi="宋体"/>
          <w:sz w:val="24"/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B07</w:t>
      </w:r>
      <w:r>
        <w:rPr>
          <w:rFonts w:hint="eastAsia" w:ascii="黑体" w:hAnsi="黑体" w:eastAsia="黑体"/>
          <w:b/>
          <w:sz w:val="30"/>
          <w:szCs w:val="30"/>
        </w:rPr>
        <w:t>.教育出版新技术应用现状与趋势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围绕新技术对教育出版的影响，新技术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应用现状和趋势，新技术应用</w:t>
      </w:r>
      <w:r>
        <w:rPr>
          <w:rFonts w:ascii="宋体" w:hAnsi="宋体"/>
          <w:sz w:val="24"/>
        </w:rPr>
        <w:t>成功案例等进行研究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348633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070"/>
    <w:multiLevelType w:val="multilevel"/>
    <w:tmpl w:val="1C605070"/>
    <w:lvl w:ilvl="0" w:tentative="0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B3683"/>
    <w:rsid w:val="0000269E"/>
    <w:rsid w:val="00031357"/>
    <w:rsid w:val="00044A6A"/>
    <w:rsid w:val="0004757C"/>
    <w:rsid w:val="00075D6A"/>
    <w:rsid w:val="000822C4"/>
    <w:rsid w:val="000A3D10"/>
    <w:rsid w:val="000C30BD"/>
    <w:rsid w:val="000D4697"/>
    <w:rsid w:val="00192C4B"/>
    <w:rsid w:val="001955D1"/>
    <w:rsid w:val="001D36C0"/>
    <w:rsid w:val="002052CF"/>
    <w:rsid w:val="002572C8"/>
    <w:rsid w:val="002671C0"/>
    <w:rsid w:val="00271AF0"/>
    <w:rsid w:val="00273F17"/>
    <w:rsid w:val="002A19B9"/>
    <w:rsid w:val="002B3E92"/>
    <w:rsid w:val="002C1D80"/>
    <w:rsid w:val="002C6C2F"/>
    <w:rsid w:val="002D227D"/>
    <w:rsid w:val="002E280B"/>
    <w:rsid w:val="002E6E4C"/>
    <w:rsid w:val="002F2C3E"/>
    <w:rsid w:val="0030149B"/>
    <w:rsid w:val="00307D54"/>
    <w:rsid w:val="0031216E"/>
    <w:rsid w:val="00313F6C"/>
    <w:rsid w:val="00316253"/>
    <w:rsid w:val="003576D5"/>
    <w:rsid w:val="003652FA"/>
    <w:rsid w:val="00380418"/>
    <w:rsid w:val="00387E6D"/>
    <w:rsid w:val="003C57A0"/>
    <w:rsid w:val="003C5E01"/>
    <w:rsid w:val="003D0AD2"/>
    <w:rsid w:val="003D1237"/>
    <w:rsid w:val="003D76B4"/>
    <w:rsid w:val="003E1768"/>
    <w:rsid w:val="00425F40"/>
    <w:rsid w:val="00447A6A"/>
    <w:rsid w:val="00456A07"/>
    <w:rsid w:val="004676C0"/>
    <w:rsid w:val="0048404B"/>
    <w:rsid w:val="004A1533"/>
    <w:rsid w:val="004A6BCE"/>
    <w:rsid w:val="004A718F"/>
    <w:rsid w:val="004D1863"/>
    <w:rsid w:val="004E7210"/>
    <w:rsid w:val="004F6F08"/>
    <w:rsid w:val="00512057"/>
    <w:rsid w:val="00532922"/>
    <w:rsid w:val="00557E82"/>
    <w:rsid w:val="00591A9D"/>
    <w:rsid w:val="005A4BF3"/>
    <w:rsid w:val="005A4C9F"/>
    <w:rsid w:val="005B32B5"/>
    <w:rsid w:val="005F04F5"/>
    <w:rsid w:val="006030AC"/>
    <w:rsid w:val="006036CC"/>
    <w:rsid w:val="00613247"/>
    <w:rsid w:val="006308D0"/>
    <w:rsid w:val="00677210"/>
    <w:rsid w:val="00685644"/>
    <w:rsid w:val="006C253E"/>
    <w:rsid w:val="006F5636"/>
    <w:rsid w:val="00710A84"/>
    <w:rsid w:val="0075716F"/>
    <w:rsid w:val="0075775C"/>
    <w:rsid w:val="007741E8"/>
    <w:rsid w:val="00777792"/>
    <w:rsid w:val="007A1CAA"/>
    <w:rsid w:val="007F4C04"/>
    <w:rsid w:val="008341DA"/>
    <w:rsid w:val="00855592"/>
    <w:rsid w:val="00873094"/>
    <w:rsid w:val="00877EDF"/>
    <w:rsid w:val="008E44EB"/>
    <w:rsid w:val="008F4AC1"/>
    <w:rsid w:val="009025EE"/>
    <w:rsid w:val="00903E83"/>
    <w:rsid w:val="00932FE0"/>
    <w:rsid w:val="009448D8"/>
    <w:rsid w:val="00950A65"/>
    <w:rsid w:val="009513B8"/>
    <w:rsid w:val="0096001B"/>
    <w:rsid w:val="0097154B"/>
    <w:rsid w:val="00985224"/>
    <w:rsid w:val="00991479"/>
    <w:rsid w:val="009B2445"/>
    <w:rsid w:val="009B3911"/>
    <w:rsid w:val="009D06BF"/>
    <w:rsid w:val="00A35205"/>
    <w:rsid w:val="00A53FEA"/>
    <w:rsid w:val="00A63C75"/>
    <w:rsid w:val="00A6467E"/>
    <w:rsid w:val="00A6483F"/>
    <w:rsid w:val="00AC1876"/>
    <w:rsid w:val="00AC324B"/>
    <w:rsid w:val="00AD3CEF"/>
    <w:rsid w:val="00B37328"/>
    <w:rsid w:val="00B451CC"/>
    <w:rsid w:val="00B521D4"/>
    <w:rsid w:val="00B6165A"/>
    <w:rsid w:val="00B86756"/>
    <w:rsid w:val="00B91179"/>
    <w:rsid w:val="00BB1DEE"/>
    <w:rsid w:val="00BC786E"/>
    <w:rsid w:val="00BD21D4"/>
    <w:rsid w:val="00BD51CA"/>
    <w:rsid w:val="00BF73FB"/>
    <w:rsid w:val="00BF756F"/>
    <w:rsid w:val="00C01F0C"/>
    <w:rsid w:val="00C106DD"/>
    <w:rsid w:val="00C32223"/>
    <w:rsid w:val="00C8764D"/>
    <w:rsid w:val="00CE07D7"/>
    <w:rsid w:val="00D011E1"/>
    <w:rsid w:val="00D31F6A"/>
    <w:rsid w:val="00D35DC3"/>
    <w:rsid w:val="00D36E21"/>
    <w:rsid w:val="00D72AF9"/>
    <w:rsid w:val="00D837FE"/>
    <w:rsid w:val="00DA0540"/>
    <w:rsid w:val="00DA09D1"/>
    <w:rsid w:val="00DC7A55"/>
    <w:rsid w:val="00DD15F7"/>
    <w:rsid w:val="00DE2DC3"/>
    <w:rsid w:val="00E11786"/>
    <w:rsid w:val="00E12BF6"/>
    <w:rsid w:val="00E80AF1"/>
    <w:rsid w:val="00E95CFE"/>
    <w:rsid w:val="00E96771"/>
    <w:rsid w:val="00EA22E8"/>
    <w:rsid w:val="00EA5A8F"/>
    <w:rsid w:val="00EC57CE"/>
    <w:rsid w:val="00ED53CD"/>
    <w:rsid w:val="00EF6A52"/>
    <w:rsid w:val="00F6463B"/>
    <w:rsid w:val="00FD665E"/>
    <w:rsid w:val="1A24403B"/>
    <w:rsid w:val="20BB3683"/>
    <w:rsid w:val="6B6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adjustRightInd w:val="0"/>
      <w:spacing w:line="312" w:lineRule="atLeast"/>
      <w:jc w:val="center"/>
      <w:textAlignment w:val="baseline"/>
      <w:outlineLvl w:val="0"/>
    </w:pPr>
    <w:rPr>
      <w:rFonts w:ascii="Times New Roman" w:hAnsi="Times New Roman" w:eastAsia="宋体" w:cs="Times New Roman"/>
      <w:b/>
      <w:kern w:val="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uiPriority w:val="0"/>
    <w:pPr>
      <w:jc w:val="left"/>
    </w:pPr>
  </w:style>
  <w:style w:type="paragraph" w:styleId="4">
    <w:name w:val="Body Text"/>
    <w:basedOn w:val="1"/>
    <w:link w:val="25"/>
    <w:qFormat/>
    <w:uiPriority w:val="0"/>
    <w:pPr>
      <w:adjustRightInd w:val="0"/>
      <w:jc w:val="left"/>
      <w:textAlignment w:val="baseline"/>
    </w:pPr>
    <w:rPr>
      <w:rFonts w:ascii="Times New Roman" w:hAnsi="Times New Roman" w:eastAsia="宋体" w:cs="Times New Roman"/>
      <w:szCs w:val="20"/>
    </w:rPr>
  </w:style>
  <w:style w:type="paragraph" w:styleId="5">
    <w:name w:val="Body Text Indent"/>
    <w:basedOn w:val="1"/>
    <w:link w:val="23"/>
    <w:uiPriority w:val="0"/>
    <w:pPr>
      <w:adjustRightInd w:val="0"/>
      <w:textAlignment w:val="baseline"/>
    </w:pPr>
    <w:rPr>
      <w:rFonts w:ascii="黑体" w:hAnsi="Times New Roman" w:eastAsia="黑体" w:cs="Times New Roman"/>
      <w:sz w:val="28"/>
      <w:szCs w:val="20"/>
    </w:rPr>
  </w:style>
  <w:style w:type="paragraph" w:styleId="6">
    <w:name w:val="Date"/>
    <w:basedOn w:val="1"/>
    <w:next w:val="1"/>
    <w:link w:val="26"/>
    <w:uiPriority w:val="0"/>
    <w:pPr>
      <w:ind w:left="100" w:leftChars="2500"/>
    </w:pPr>
  </w:style>
  <w:style w:type="paragraph" w:styleId="7">
    <w:name w:val="Balloon Text"/>
    <w:basedOn w:val="1"/>
    <w:link w:val="29"/>
    <w:semiHidden/>
    <w:unhideWhenUsed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8"/>
    <w:semiHidden/>
    <w:unhideWhenUsed/>
    <w:uiPriority w:val="0"/>
    <w:rPr>
      <w:b/>
      <w:bCs/>
    </w:rPr>
  </w:style>
  <w:style w:type="paragraph" w:styleId="11">
    <w:name w:val="Body Text First Indent"/>
    <w:basedOn w:val="4"/>
    <w:link w:val="30"/>
    <w:uiPriority w:val="0"/>
    <w:pPr>
      <w:adjustRightInd/>
      <w:spacing w:after="120"/>
      <w:ind w:firstLine="420" w:firstLineChars="100"/>
      <w:jc w:val="both"/>
      <w:textAlignment w:val="auto"/>
    </w:pPr>
    <w:rPr>
      <w:rFonts w:asciiTheme="minorHAnsi" w:hAnsiTheme="minorHAnsi" w:eastAsiaTheme="minorEastAsia" w:cstheme="minorBidi"/>
      <w:szCs w:val="24"/>
    </w:rPr>
  </w:style>
  <w:style w:type="character" w:styleId="14">
    <w:name w:val="page number"/>
    <w:basedOn w:val="13"/>
    <w:uiPriority w:val="0"/>
  </w:style>
  <w:style w:type="character" w:styleId="15">
    <w:name w:val="annotation reference"/>
    <w:basedOn w:val="13"/>
    <w:semiHidden/>
    <w:unhideWhenUsed/>
    <w:uiPriority w:val="0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8">
    <w:name w:val="页脚 Char1"/>
    <w:basedOn w:val="13"/>
    <w:link w:val="8"/>
    <w:qFormat/>
    <w:uiPriority w:val="0"/>
    <w:rPr>
      <w:kern w:val="2"/>
      <w:sz w:val="18"/>
      <w:szCs w:val="18"/>
    </w:rPr>
  </w:style>
  <w:style w:type="character" w:customStyle="1" w:styleId="19">
    <w:name w:val="标题 1 字符"/>
    <w:basedOn w:val="13"/>
    <w:uiPriority w:val="0"/>
    <w:rPr>
      <w:b/>
      <w:bCs/>
      <w:kern w:val="44"/>
      <w:sz w:val="44"/>
      <w:szCs w:val="44"/>
    </w:rPr>
  </w:style>
  <w:style w:type="character" w:customStyle="1" w:styleId="20">
    <w:name w:val="页脚 Char"/>
    <w:qFormat/>
    <w:uiPriority w:val="99"/>
    <w:rPr>
      <w:sz w:val="18"/>
      <w:szCs w:val="18"/>
    </w:rPr>
  </w:style>
  <w:style w:type="character" w:customStyle="1" w:styleId="21">
    <w:name w:val="标题 1 Char"/>
    <w:link w:val="2"/>
    <w:uiPriority w:val="0"/>
    <w:rPr>
      <w:rFonts w:ascii="Times New Roman" w:hAnsi="Times New Roman" w:eastAsia="宋体" w:cs="Times New Roman"/>
      <w:b/>
      <w:sz w:val="21"/>
    </w:rPr>
  </w:style>
  <w:style w:type="character" w:customStyle="1" w:styleId="22">
    <w:name w:val="正文文本缩进 字符"/>
    <w:basedOn w:val="13"/>
    <w:semiHidden/>
    <w:qFormat/>
    <w:uiPriority w:val="0"/>
    <w:rPr>
      <w:kern w:val="2"/>
      <w:sz w:val="21"/>
      <w:szCs w:val="24"/>
    </w:rPr>
  </w:style>
  <w:style w:type="character" w:customStyle="1" w:styleId="23">
    <w:name w:val="正文文本缩进 Char"/>
    <w:link w:val="5"/>
    <w:qFormat/>
    <w:uiPriority w:val="0"/>
    <w:rPr>
      <w:rFonts w:ascii="黑体" w:hAnsi="Times New Roman" w:eastAsia="黑体" w:cs="Times New Roman"/>
      <w:kern w:val="2"/>
      <w:sz w:val="28"/>
    </w:rPr>
  </w:style>
  <w:style w:type="character" w:customStyle="1" w:styleId="24">
    <w:name w:val="正文文本 字符"/>
    <w:basedOn w:val="13"/>
    <w:semiHidden/>
    <w:uiPriority w:val="0"/>
    <w:rPr>
      <w:kern w:val="2"/>
      <w:sz w:val="21"/>
      <w:szCs w:val="24"/>
    </w:rPr>
  </w:style>
  <w:style w:type="character" w:customStyle="1" w:styleId="25">
    <w:name w:val="正文文本 Char"/>
    <w:link w:val="4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6">
    <w:name w:val="日期 Char"/>
    <w:basedOn w:val="13"/>
    <w:link w:val="6"/>
    <w:uiPriority w:val="0"/>
    <w:rPr>
      <w:kern w:val="2"/>
      <w:sz w:val="21"/>
      <w:szCs w:val="24"/>
    </w:rPr>
  </w:style>
  <w:style w:type="character" w:customStyle="1" w:styleId="27">
    <w:name w:val="批注文字 Char"/>
    <w:basedOn w:val="13"/>
    <w:link w:val="3"/>
    <w:semiHidden/>
    <w:uiPriority w:val="0"/>
    <w:rPr>
      <w:kern w:val="2"/>
      <w:sz w:val="21"/>
      <w:szCs w:val="24"/>
    </w:rPr>
  </w:style>
  <w:style w:type="character" w:customStyle="1" w:styleId="28">
    <w:name w:val="批注主题 Char"/>
    <w:basedOn w:val="27"/>
    <w:link w:val="10"/>
    <w:semiHidden/>
    <w:uiPriority w:val="0"/>
    <w:rPr>
      <w:b/>
      <w:bCs/>
      <w:kern w:val="2"/>
      <w:sz w:val="21"/>
      <w:szCs w:val="24"/>
    </w:rPr>
  </w:style>
  <w:style w:type="character" w:customStyle="1" w:styleId="29">
    <w:name w:val="批注框文本 Char"/>
    <w:basedOn w:val="13"/>
    <w:link w:val="7"/>
    <w:semiHidden/>
    <w:uiPriority w:val="0"/>
    <w:rPr>
      <w:kern w:val="2"/>
      <w:sz w:val="18"/>
      <w:szCs w:val="18"/>
    </w:rPr>
  </w:style>
  <w:style w:type="character" w:customStyle="1" w:styleId="30">
    <w:name w:val="正文首行缩进 Char"/>
    <w:basedOn w:val="25"/>
    <w:link w:val="11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1121</Words>
  <Characters>102</Characters>
  <Lines>1</Lines>
  <Paragraphs>2</Paragraphs>
  <TotalTime>0</TotalTime>
  <ScaleCrop>false</ScaleCrop>
  <LinksUpToDate>false</LinksUpToDate>
  <CharactersWithSpaces>1221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2019-09-08T03:53:00Z</dcterms:created>
  <dc:creator>糖霜</dc:creator>
  <cp:lastModifiedBy>丽羊羊</cp:lastModifiedBy>
  <cp:lastPrinted>2019-07-23T05:36:00Z</cp:lastPrinted>
  <dcterms:modified xsi:type="dcterms:W3CDTF">2019-09-17T06:40:24Z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